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1"/>
        <w:gridCol w:w="7304"/>
      </w:tblGrid>
      <w:tr w:rsidR="00834334" w:rsidRPr="00EC5680" w14:paraId="02EAFAAF" w14:textId="77777777" w:rsidTr="002D1847">
        <w:trPr>
          <w:cantSplit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A83B" w14:textId="77777777" w:rsidR="00834334" w:rsidRPr="00EC5680" w:rsidRDefault="005D3595" w:rsidP="00C92749">
            <w:pPr>
              <w:pStyle w:val="Ttulo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5680">
              <w:rPr>
                <w:rFonts w:ascii="Times New Roman" w:hAnsi="Times New Roman"/>
                <w:noProof/>
                <w:sz w:val="24"/>
                <w:szCs w:val="24"/>
              </w:rPr>
              <w:t>PROGRAMA DA</w:t>
            </w:r>
            <w:r w:rsidR="00834334" w:rsidRPr="00EC5680">
              <w:rPr>
                <w:rFonts w:ascii="Times New Roman" w:hAnsi="Times New Roman"/>
                <w:noProof/>
                <w:sz w:val="24"/>
                <w:szCs w:val="24"/>
              </w:rPr>
              <w:t xml:space="preserve"> DISCIPLINA</w:t>
            </w:r>
          </w:p>
          <w:p w14:paraId="34AA4377" w14:textId="5529F89E" w:rsidR="005D3595" w:rsidRPr="00EC5680" w:rsidRDefault="005D3595" w:rsidP="005D3595">
            <w:pPr>
              <w:rPr>
                <w:sz w:val="24"/>
                <w:szCs w:val="24"/>
              </w:rPr>
            </w:pPr>
          </w:p>
        </w:tc>
      </w:tr>
      <w:tr w:rsidR="00834334" w:rsidRPr="00EC5680" w14:paraId="6508E21F" w14:textId="77777777" w:rsidTr="002D1847">
        <w:trPr>
          <w:cantSplit/>
        </w:trPr>
        <w:tc>
          <w:tcPr>
            <w:tcW w:w="2335" w:type="dxa"/>
            <w:gridSpan w:val="2"/>
          </w:tcPr>
          <w:p w14:paraId="0B9FC5DF" w14:textId="77777777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7304" w:type="dxa"/>
          </w:tcPr>
          <w:p w14:paraId="0B76BBA2" w14:textId="327E07A8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DISCIPLINA:</w:t>
            </w:r>
          </w:p>
        </w:tc>
      </w:tr>
      <w:tr w:rsidR="00834334" w:rsidRPr="00EC5680" w14:paraId="78D828BB" w14:textId="77777777" w:rsidTr="002D1847">
        <w:trPr>
          <w:cantSplit/>
        </w:trPr>
        <w:tc>
          <w:tcPr>
            <w:tcW w:w="2335" w:type="dxa"/>
            <w:gridSpan w:val="2"/>
          </w:tcPr>
          <w:p w14:paraId="20D7BD9F" w14:textId="508B6CEF" w:rsidR="00834334" w:rsidRPr="00EC5680" w:rsidRDefault="00145828" w:rsidP="00C92749">
            <w:pPr>
              <w:pStyle w:val="Ttulo5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ECO100187</w:t>
            </w:r>
          </w:p>
        </w:tc>
        <w:tc>
          <w:tcPr>
            <w:tcW w:w="7304" w:type="dxa"/>
            <w:shd w:val="pct15" w:color="000000" w:fill="FFFFFF"/>
          </w:tcPr>
          <w:p w14:paraId="0F924119" w14:textId="5E22938D" w:rsidR="00834334" w:rsidRPr="007F38BF" w:rsidRDefault="00145828" w:rsidP="00C9274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Análise de Política Comercial</w:t>
            </w:r>
          </w:p>
        </w:tc>
      </w:tr>
      <w:tr w:rsidR="00834334" w:rsidRPr="00EC5680" w14:paraId="68030B35" w14:textId="77777777" w:rsidTr="002D1847">
        <w:trPr>
          <w:cantSplit/>
        </w:trPr>
        <w:tc>
          <w:tcPr>
            <w:tcW w:w="1134" w:type="dxa"/>
          </w:tcPr>
          <w:p w14:paraId="179F872C" w14:textId="3B3083ED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1201" w:type="dxa"/>
          </w:tcPr>
          <w:p w14:paraId="5E115290" w14:textId="2F9815C9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Créditos</w:t>
            </w:r>
          </w:p>
        </w:tc>
        <w:tc>
          <w:tcPr>
            <w:tcW w:w="7304" w:type="dxa"/>
          </w:tcPr>
          <w:p w14:paraId="59994543" w14:textId="55B3C146" w:rsidR="00834334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Professor(a)</w:t>
            </w:r>
          </w:p>
        </w:tc>
      </w:tr>
      <w:tr w:rsidR="00D23105" w:rsidRPr="00EC5680" w14:paraId="64DB51BC" w14:textId="77777777" w:rsidTr="002D1847">
        <w:trPr>
          <w:cantSplit/>
          <w:trHeight w:val="499"/>
        </w:trPr>
        <w:tc>
          <w:tcPr>
            <w:tcW w:w="1134" w:type="dxa"/>
            <w:vAlign w:val="center"/>
          </w:tcPr>
          <w:p w14:paraId="57D1D15C" w14:textId="43E6B98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01" w:type="dxa"/>
            <w:vAlign w:val="center"/>
          </w:tcPr>
          <w:p w14:paraId="27599FD9" w14:textId="38755F1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04" w:type="dxa"/>
            <w:vAlign w:val="center"/>
          </w:tcPr>
          <w:p w14:paraId="3969E1E8" w14:textId="7EFD7CA3" w:rsidR="00D23105" w:rsidRPr="00EC5680" w:rsidRDefault="00145828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Ticiana</w:t>
            </w:r>
            <w:proofErr w:type="spellEnd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Grecco</w:t>
            </w:r>
            <w:proofErr w:type="spellEnd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Zanon</w:t>
            </w:r>
            <w:proofErr w:type="spellEnd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Moura</w:t>
            </w:r>
          </w:p>
          <w:p w14:paraId="3456111D" w14:textId="0945494B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23105" w:rsidRPr="00EC5680" w14:paraId="06544280" w14:textId="77777777" w:rsidTr="002D1847">
        <w:trPr>
          <w:cantSplit/>
          <w:trHeight w:val="499"/>
        </w:trPr>
        <w:tc>
          <w:tcPr>
            <w:tcW w:w="2335" w:type="dxa"/>
            <w:gridSpan w:val="2"/>
            <w:vAlign w:val="center"/>
          </w:tcPr>
          <w:p w14:paraId="09E298EA" w14:textId="379D153A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Ementa</w:t>
            </w:r>
          </w:p>
        </w:tc>
        <w:tc>
          <w:tcPr>
            <w:tcW w:w="7304" w:type="dxa"/>
            <w:vAlign w:val="center"/>
          </w:tcPr>
          <w:p w14:paraId="5510F357" w14:textId="7C3C86C1" w:rsidR="00D23105" w:rsidRPr="00EC5680" w:rsidRDefault="00145828" w:rsidP="00C92749">
            <w:pPr>
              <w:pStyle w:val="Ttulo4"/>
              <w:tabs>
                <w:tab w:val="left" w:pos="8030"/>
              </w:tabs>
              <w:spacing w:before="0"/>
              <w:ind w:right="-5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45828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Análise e quantificação dos fluxos de comércio. O modelo gravitacional para análise de comércio bilateral. Simulação de política comercial de equilíbrio parcial. Equilíbrio geral. Efeitos distributivos das políticas comerciais.</w:t>
            </w:r>
          </w:p>
        </w:tc>
      </w:tr>
    </w:tbl>
    <w:p w14:paraId="03AC86A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5680" w:rsidRPr="00EC5680" w14:paraId="5FBDFD3E" w14:textId="77777777" w:rsidTr="00EC5680">
        <w:tc>
          <w:tcPr>
            <w:tcW w:w="9629" w:type="dxa"/>
          </w:tcPr>
          <w:p w14:paraId="2C61FA99" w14:textId="5C7A5DA0" w:rsidR="00EC5680" w:rsidRPr="00EC5680" w:rsidRDefault="00EC5680" w:rsidP="00EC5680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5680">
              <w:rPr>
                <w:b/>
                <w:bCs/>
                <w:sz w:val="24"/>
                <w:szCs w:val="24"/>
                <w:lang w:val="en-US"/>
              </w:rPr>
              <w:t>Bibliografia</w:t>
            </w:r>
            <w:proofErr w:type="spellEnd"/>
            <w:r w:rsidRPr="00EC5680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6FA7E60A" w14:textId="77777777" w:rsidR="00CC69E5" w:rsidRPr="00CC69E5" w:rsidRDefault="00CC69E5" w:rsidP="00CC69E5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C69E5">
              <w:rPr>
                <w:bCs/>
                <w:sz w:val="24"/>
                <w:szCs w:val="24"/>
                <w:lang w:val="en-US"/>
              </w:rPr>
              <w:t xml:space="preserve">Anderson, J. E. and van </w:t>
            </w:r>
            <w:proofErr w:type="spellStart"/>
            <w:r w:rsidRPr="00CC69E5">
              <w:rPr>
                <w:bCs/>
                <w:sz w:val="24"/>
                <w:szCs w:val="24"/>
                <w:lang w:val="en-US"/>
              </w:rPr>
              <w:t>Wincoop</w:t>
            </w:r>
            <w:proofErr w:type="spellEnd"/>
            <w:r w:rsidRPr="00CC69E5">
              <w:rPr>
                <w:bCs/>
                <w:sz w:val="24"/>
                <w:szCs w:val="24"/>
                <w:lang w:val="en-US"/>
              </w:rPr>
              <w:t>, E. (2003), “Gravity with gravitas: a solution to the border puzzle”, American Economic Review 93: 170–92.</w:t>
            </w:r>
          </w:p>
          <w:p w14:paraId="1730F569" w14:textId="77777777" w:rsidR="00CC69E5" w:rsidRPr="00CC69E5" w:rsidRDefault="00CC69E5" w:rsidP="00CC69E5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C69E5">
              <w:rPr>
                <w:bCs/>
                <w:sz w:val="24"/>
                <w:szCs w:val="24"/>
                <w:lang w:val="en-US"/>
              </w:rPr>
              <w:t xml:space="preserve">Anderson, J. E. and van </w:t>
            </w:r>
            <w:proofErr w:type="spellStart"/>
            <w:r w:rsidRPr="00CC69E5">
              <w:rPr>
                <w:bCs/>
                <w:sz w:val="24"/>
                <w:szCs w:val="24"/>
                <w:lang w:val="en-US"/>
              </w:rPr>
              <w:t>Wincoop</w:t>
            </w:r>
            <w:proofErr w:type="spellEnd"/>
            <w:r w:rsidRPr="00CC69E5">
              <w:rPr>
                <w:bCs/>
                <w:sz w:val="24"/>
                <w:szCs w:val="24"/>
                <w:lang w:val="en-US"/>
              </w:rPr>
              <w:t>, E. (2004), “Trade costs”, Journal of Economic Literature 42: 691–751.</w:t>
            </w:r>
          </w:p>
          <w:p w14:paraId="4C4386A6" w14:textId="77777777" w:rsidR="00CC69E5" w:rsidRPr="00CC69E5" w:rsidRDefault="00CC69E5" w:rsidP="00CC69E5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C69E5">
              <w:rPr>
                <w:bCs/>
                <w:sz w:val="24"/>
                <w:szCs w:val="24"/>
                <w:lang w:val="en-US"/>
              </w:rPr>
              <w:t>Baier</w:t>
            </w:r>
            <w:proofErr w:type="spellEnd"/>
            <w:r w:rsidRPr="00CC69E5">
              <w:rPr>
                <w:bCs/>
                <w:sz w:val="24"/>
                <w:szCs w:val="24"/>
                <w:lang w:val="en-US"/>
              </w:rPr>
              <w:t xml:space="preserve">, S. L. and </w:t>
            </w:r>
            <w:proofErr w:type="spellStart"/>
            <w:r w:rsidRPr="00CC69E5">
              <w:rPr>
                <w:bCs/>
                <w:sz w:val="24"/>
                <w:szCs w:val="24"/>
                <w:lang w:val="en-US"/>
              </w:rPr>
              <w:t>Bergstrand</w:t>
            </w:r>
            <w:proofErr w:type="spellEnd"/>
            <w:r w:rsidRPr="00CC69E5">
              <w:rPr>
                <w:bCs/>
                <w:sz w:val="24"/>
                <w:szCs w:val="24"/>
                <w:lang w:val="en-US"/>
              </w:rPr>
              <w:t>, J. H. (2004), “Economic determinants of free trade agreements”, Journal of International Economics 64(1): 29–63.</w:t>
            </w:r>
          </w:p>
          <w:p w14:paraId="55916F69" w14:textId="77777777" w:rsidR="00CC69E5" w:rsidRPr="00CC69E5" w:rsidRDefault="00CC69E5" w:rsidP="00CC69E5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C69E5">
              <w:rPr>
                <w:bCs/>
                <w:sz w:val="24"/>
                <w:szCs w:val="24"/>
                <w:lang w:val="en-US"/>
              </w:rPr>
              <w:t>Anderson, K. and Martin, W. (eds.) (2005), Agricultural Trade Reform and the Doha Development Agenda, Washington D.C.: The World Bank.</w:t>
            </w:r>
          </w:p>
          <w:p w14:paraId="476BF892" w14:textId="77777777" w:rsidR="00CC69E5" w:rsidRPr="00CC69E5" w:rsidRDefault="00CC69E5" w:rsidP="00CC69E5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C69E5">
              <w:rPr>
                <w:bCs/>
                <w:sz w:val="24"/>
                <w:szCs w:val="24"/>
                <w:lang w:val="en-US"/>
              </w:rPr>
              <w:t>Baier</w:t>
            </w:r>
            <w:proofErr w:type="spellEnd"/>
            <w:r w:rsidRPr="00CC69E5">
              <w:rPr>
                <w:bCs/>
                <w:sz w:val="24"/>
                <w:szCs w:val="24"/>
                <w:lang w:val="en-US"/>
              </w:rPr>
              <w:t xml:space="preserve">, S. L. and </w:t>
            </w:r>
            <w:proofErr w:type="spellStart"/>
            <w:r w:rsidRPr="00CC69E5">
              <w:rPr>
                <w:bCs/>
                <w:sz w:val="24"/>
                <w:szCs w:val="24"/>
                <w:lang w:val="en-US"/>
              </w:rPr>
              <w:t>Bergstrand</w:t>
            </w:r>
            <w:proofErr w:type="spellEnd"/>
            <w:r w:rsidRPr="00CC69E5">
              <w:rPr>
                <w:bCs/>
                <w:sz w:val="24"/>
                <w:szCs w:val="24"/>
                <w:lang w:val="en-US"/>
              </w:rPr>
              <w:t>, J. H. (2006), “Estimating the effects of free trade agreements on trade flows using matching econometrics”, mimeo, published in Journal of International Economics (2009) 77(1): 63–76.</w:t>
            </w:r>
          </w:p>
          <w:p w14:paraId="142BC252" w14:textId="77777777" w:rsidR="00CC69E5" w:rsidRPr="00CC69E5" w:rsidRDefault="00CC69E5" w:rsidP="00CC69E5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C69E5">
              <w:rPr>
                <w:bCs/>
                <w:sz w:val="24"/>
                <w:szCs w:val="24"/>
                <w:lang w:val="en-US"/>
              </w:rPr>
              <w:t>Cadot</w:t>
            </w:r>
            <w:proofErr w:type="spellEnd"/>
            <w:r w:rsidRPr="00CC69E5">
              <w:rPr>
                <w:bCs/>
                <w:sz w:val="24"/>
                <w:szCs w:val="24"/>
                <w:lang w:val="en-US"/>
              </w:rPr>
              <w:t xml:space="preserve">, O., </w:t>
            </w:r>
            <w:proofErr w:type="spellStart"/>
            <w:r w:rsidRPr="00CC69E5">
              <w:rPr>
                <w:bCs/>
                <w:sz w:val="24"/>
                <w:szCs w:val="24"/>
                <w:lang w:val="en-US"/>
              </w:rPr>
              <w:t>Carrère</w:t>
            </w:r>
            <w:proofErr w:type="spellEnd"/>
            <w:r w:rsidRPr="00CC69E5">
              <w:rPr>
                <w:bCs/>
                <w:sz w:val="24"/>
                <w:szCs w:val="24"/>
                <w:lang w:val="en-US"/>
              </w:rPr>
              <w:t>, C. and Strauss-Kahn, V. (2011), “Export diversification: what’s behind the hump?”, Review of Economics and Statistics 93(2): 590–605.</w:t>
            </w:r>
          </w:p>
          <w:p w14:paraId="6DCA8FFD" w14:textId="77777777" w:rsidR="00CC69E5" w:rsidRPr="00CC69E5" w:rsidRDefault="00CC69E5" w:rsidP="00CC69E5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C69E5">
              <w:rPr>
                <w:bCs/>
                <w:sz w:val="24"/>
                <w:szCs w:val="24"/>
                <w:lang w:val="en-US"/>
              </w:rPr>
              <w:t>Deardorff</w:t>
            </w:r>
            <w:proofErr w:type="spellEnd"/>
            <w:r w:rsidRPr="00CC69E5">
              <w:rPr>
                <w:bCs/>
                <w:sz w:val="24"/>
                <w:szCs w:val="24"/>
                <w:lang w:val="en-US"/>
              </w:rPr>
              <w:t xml:space="preserve">, A. and Stern, R. (1998), Measurement of Non-Tariff Barriers: Studies in International Economics, Ann Arbor: University of Michigan Press. </w:t>
            </w:r>
          </w:p>
          <w:p w14:paraId="0F02D2B3" w14:textId="77777777" w:rsidR="00CC69E5" w:rsidRPr="00CC69E5" w:rsidRDefault="00CC69E5" w:rsidP="00CC69E5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C69E5">
              <w:rPr>
                <w:bCs/>
                <w:sz w:val="24"/>
                <w:szCs w:val="24"/>
                <w:lang w:val="en-US"/>
              </w:rPr>
              <w:t>Eurostat, 2020. User guide on European statistics on international trade in goods. European Union. https://doi.org/10.2785/76978</w:t>
            </w:r>
          </w:p>
          <w:p w14:paraId="7A59E52E" w14:textId="77777777" w:rsidR="00CC69E5" w:rsidRPr="00CC69E5" w:rsidRDefault="00CC69E5" w:rsidP="00CC69E5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C69E5">
              <w:rPr>
                <w:bCs/>
                <w:sz w:val="24"/>
                <w:szCs w:val="24"/>
                <w:lang w:val="en-US"/>
              </w:rPr>
              <w:t>Hummels</w:t>
            </w:r>
            <w:proofErr w:type="spellEnd"/>
            <w:r w:rsidRPr="00CC69E5">
              <w:rPr>
                <w:bCs/>
                <w:sz w:val="24"/>
                <w:szCs w:val="24"/>
                <w:lang w:val="en-US"/>
              </w:rPr>
              <w:t>, D., Ishii, J. and Yi, K.-M. (2001), “The nature and growth of vertical specialization in world trade”, Journal of International Economics 54(1): 75–96.</w:t>
            </w:r>
          </w:p>
          <w:p w14:paraId="65BA12D7" w14:textId="77777777" w:rsidR="00CC69E5" w:rsidRPr="00CC69E5" w:rsidRDefault="00CC69E5" w:rsidP="00CC69E5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C69E5">
              <w:rPr>
                <w:bCs/>
                <w:sz w:val="24"/>
                <w:szCs w:val="24"/>
                <w:lang w:val="en-US"/>
              </w:rPr>
              <w:t>Krugman, P. (1979), “Increasing returns, monopolistic competition, and international trade”, Journal of International Economics 9(4): 469–79.</w:t>
            </w:r>
          </w:p>
          <w:p w14:paraId="2E71A922" w14:textId="77777777" w:rsidR="00CC69E5" w:rsidRPr="00CC69E5" w:rsidRDefault="00CC69E5" w:rsidP="00CC69E5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C69E5">
              <w:rPr>
                <w:bCs/>
                <w:sz w:val="24"/>
                <w:szCs w:val="24"/>
                <w:lang w:val="en-US"/>
              </w:rPr>
              <w:t>United Nations Conference on Trade and Development (UNCTAD) (2010), Non-Tariff Measures: Evidence from Selected Developing Countries and Future Research Agenda, Developing Countries in International Trade Studies, Geneva: UNCTAD.</w:t>
            </w:r>
          </w:p>
          <w:p w14:paraId="59724DD3" w14:textId="77777777" w:rsidR="00CC69E5" w:rsidRPr="00CC69E5" w:rsidRDefault="00CC69E5" w:rsidP="00CC69E5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C69E5">
              <w:rPr>
                <w:bCs/>
                <w:sz w:val="24"/>
                <w:szCs w:val="24"/>
                <w:lang w:val="en-US"/>
              </w:rPr>
              <w:t xml:space="preserve">Santos Silva, J. and </w:t>
            </w:r>
            <w:proofErr w:type="spellStart"/>
            <w:r w:rsidRPr="00CC69E5">
              <w:rPr>
                <w:bCs/>
                <w:sz w:val="24"/>
                <w:szCs w:val="24"/>
                <w:lang w:val="en-US"/>
              </w:rPr>
              <w:t>Tenreyro</w:t>
            </w:r>
            <w:proofErr w:type="spellEnd"/>
            <w:r w:rsidRPr="00CC69E5">
              <w:rPr>
                <w:bCs/>
                <w:sz w:val="24"/>
                <w:szCs w:val="24"/>
                <w:lang w:val="en-US"/>
              </w:rPr>
              <w:t>, S. (2006), “The log of gravity”, The Review of Economics and Statistics 88: 641–58.</w:t>
            </w:r>
          </w:p>
          <w:p w14:paraId="112074A4" w14:textId="77777777" w:rsidR="00CC69E5" w:rsidRPr="00CC69E5" w:rsidRDefault="00CC69E5" w:rsidP="00CC69E5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C69E5">
              <w:rPr>
                <w:bCs/>
                <w:sz w:val="24"/>
                <w:szCs w:val="24"/>
                <w:lang w:val="en-US"/>
              </w:rPr>
              <w:t xml:space="preserve">Santos Silva, J. and </w:t>
            </w:r>
            <w:proofErr w:type="spellStart"/>
            <w:r w:rsidRPr="00CC69E5">
              <w:rPr>
                <w:bCs/>
                <w:sz w:val="24"/>
                <w:szCs w:val="24"/>
                <w:lang w:val="en-US"/>
              </w:rPr>
              <w:t>Tenreyro</w:t>
            </w:r>
            <w:proofErr w:type="spellEnd"/>
            <w:r w:rsidRPr="00CC69E5">
              <w:rPr>
                <w:bCs/>
                <w:sz w:val="24"/>
                <w:szCs w:val="24"/>
                <w:lang w:val="en-US"/>
              </w:rPr>
              <w:t xml:space="preserve">, S. (2009), “Trading partners and trading volumes: implementing the </w:t>
            </w:r>
            <w:proofErr w:type="spellStart"/>
            <w:r w:rsidRPr="00CC69E5">
              <w:rPr>
                <w:bCs/>
                <w:sz w:val="24"/>
                <w:szCs w:val="24"/>
                <w:lang w:val="en-US"/>
              </w:rPr>
              <w:t>Helpman</w:t>
            </w:r>
            <w:proofErr w:type="spellEnd"/>
            <w:r w:rsidRPr="00CC69E5">
              <w:rPr>
                <w:bCs/>
                <w:sz w:val="24"/>
                <w:szCs w:val="24"/>
                <w:lang w:val="en-US"/>
              </w:rPr>
              <w:t>-Melitz-Rubinstein model empirically”, Center of Economic Performance (CEP) Discussion Paper 935.</w:t>
            </w:r>
          </w:p>
          <w:p w14:paraId="06A414C8" w14:textId="25277B04" w:rsidR="00EC5680" w:rsidRPr="00EC5680" w:rsidRDefault="00CC69E5" w:rsidP="00CC69E5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C69E5">
              <w:rPr>
                <w:bCs/>
                <w:sz w:val="24"/>
                <w:szCs w:val="24"/>
                <w:lang w:val="en-US"/>
              </w:rPr>
              <w:t>World Bank (2008), “WITS advanced course presentation tools for market access analysis”.</w:t>
            </w:r>
            <w:bookmarkStart w:id="0" w:name="_GoBack"/>
            <w:bookmarkEnd w:id="0"/>
          </w:p>
        </w:tc>
      </w:tr>
    </w:tbl>
    <w:p w14:paraId="29B366C3" w14:textId="205A0915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p w14:paraId="2044287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sectPr w:rsidR="00EC5680" w:rsidRPr="00EC5680" w:rsidSect="002D1847">
      <w:headerReference w:type="default" r:id="rId8"/>
      <w:footerReference w:type="default" r:id="rId9"/>
      <w:pgSz w:w="11907" w:h="16840" w:code="9"/>
      <w:pgMar w:top="851" w:right="1134" w:bottom="1418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0F367" w14:textId="77777777" w:rsidR="004A5EA4" w:rsidRDefault="004A5EA4">
      <w:r>
        <w:separator/>
      </w:r>
    </w:p>
  </w:endnote>
  <w:endnote w:type="continuationSeparator" w:id="0">
    <w:p w14:paraId="731EC123" w14:textId="77777777" w:rsidR="004A5EA4" w:rsidRDefault="004A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7122" w14:textId="45EF1F6E" w:rsidR="00E23691" w:rsidRDefault="00D32EBC">
    <w:pPr>
      <w:pStyle w:val="Rodap"/>
      <w:jc w:val="center"/>
    </w:pPr>
    <w:r>
      <w:rPr>
        <w:rStyle w:val="Nmerodepgina"/>
      </w:rPr>
      <w:fldChar w:fldCharType="begin"/>
    </w:r>
    <w:r w:rsidR="00E2369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C69E5">
      <w:rPr>
        <w:rStyle w:val="Nmerodepgina"/>
        <w:noProof/>
      </w:rPr>
      <w:t>1</w:t>
    </w:r>
    <w:r>
      <w:rPr>
        <w:rStyle w:val="Nmerodepgina"/>
      </w:rPr>
      <w:fldChar w:fldCharType="end"/>
    </w:r>
    <w:r w:rsidR="00E23691">
      <w:rPr>
        <w:rStyle w:val="Nmerodepgina"/>
      </w:rPr>
      <w:t>/</w:t>
    </w:r>
    <w:r>
      <w:rPr>
        <w:rStyle w:val="Nmerodepgina"/>
      </w:rPr>
      <w:fldChar w:fldCharType="begin"/>
    </w:r>
    <w:r w:rsidR="00E23691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CC69E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93259" w14:textId="77777777" w:rsidR="004A5EA4" w:rsidRDefault="004A5EA4">
      <w:r>
        <w:separator/>
      </w:r>
    </w:p>
  </w:footnote>
  <w:footnote w:type="continuationSeparator" w:id="0">
    <w:p w14:paraId="668B5FF0" w14:textId="77777777" w:rsidR="004A5EA4" w:rsidRDefault="004A5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363"/>
    </w:tblGrid>
    <w:tr w:rsidR="002D1847" w:rsidRPr="00834334" w14:paraId="125E353D" w14:textId="77777777" w:rsidTr="00CC4435">
      <w:trPr>
        <w:trHeight w:val="1124"/>
      </w:trPr>
      <w:tc>
        <w:tcPr>
          <w:tcW w:w="1276" w:type="dxa"/>
        </w:tcPr>
        <w:p w14:paraId="24F4CBDC" w14:textId="77777777" w:rsidR="002D1847" w:rsidRPr="00834334" w:rsidRDefault="002D1847" w:rsidP="002D1847">
          <w:pPr>
            <w:tabs>
              <w:tab w:val="left" w:pos="8030"/>
              <w:tab w:val="left" w:pos="9709"/>
            </w:tabs>
            <w:rPr>
              <w:b/>
            </w:rPr>
          </w:pPr>
          <w:r w:rsidRPr="00834334">
            <w:rPr>
              <w:b/>
            </w:rPr>
            <w:object w:dxaOrig="1236" w:dyaOrig="1572" w14:anchorId="286AD1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8.5pt" fillcolor="window">
                <v:imagedata r:id="rId1" o:title=""/>
              </v:shape>
              <o:OLEObject Type="Embed" ProgID="PBrush" ShapeID="_x0000_i1025" DrawAspect="Content" ObjectID="_1780131295" r:id="rId2"/>
            </w:object>
          </w:r>
        </w:p>
      </w:tc>
      <w:tc>
        <w:tcPr>
          <w:tcW w:w="8363" w:type="dxa"/>
        </w:tcPr>
        <w:p w14:paraId="5E3D8A04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UNIVERSIDADE ESTADUAL DE SANTA CRUZ – UESC</w:t>
          </w:r>
        </w:p>
        <w:p w14:paraId="79E4A626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DEPARTAMENTO DE CIÊNCIAS ECONÔMICAS - DCEC</w:t>
          </w:r>
        </w:p>
        <w:p w14:paraId="53C6F2D2" w14:textId="77777777" w:rsidR="002D1847" w:rsidRPr="00834334" w:rsidRDefault="002D1847" w:rsidP="002D1847">
          <w:pPr>
            <w:pStyle w:val="Corpodetexto"/>
            <w:rPr>
              <w:snapToGrid w:val="0"/>
            </w:rPr>
          </w:pPr>
          <w:r w:rsidRPr="00D23105">
            <w:rPr>
              <w:sz w:val="18"/>
              <w:szCs w:val="18"/>
            </w:rPr>
            <w:t>PROGRAMA DE PÓS-GRADUAÇÃO EM ECONOMIA REGIONAL E POLÍTICAS PÚBLICAS - PERPP</w:t>
          </w:r>
        </w:p>
      </w:tc>
    </w:tr>
  </w:tbl>
  <w:p w14:paraId="42BCE8E2" w14:textId="77777777" w:rsidR="002D1847" w:rsidRDefault="002D18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2F2"/>
    <w:multiLevelType w:val="hybridMultilevel"/>
    <w:tmpl w:val="FAA089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6148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111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612D"/>
    <w:multiLevelType w:val="hybridMultilevel"/>
    <w:tmpl w:val="914EE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0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66A82"/>
    <w:multiLevelType w:val="multilevel"/>
    <w:tmpl w:val="7E169334"/>
    <w:lvl w:ilvl="0">
      <w:start w:val="1"/>
      <w:numFmt w:val="decimal"/>
      <w:pStyle w:val="CAPTULO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680" w:hanging="3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666614D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2192"/>
    <w:multiLevelType w:val="hybridMultilevel"/>
    <w:tmpl w:val="22940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5EA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90682"/>
    <w:multiLevelType w:val="hybridMultilevel"/>
    <w:tmpl w:val="C3400C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D3873"/>
    <w:multiLevelType w:val="hybridMultilevel"/>
    <w:tmpl w:val="8ABCB6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0B8A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053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5B05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C312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F1CD6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485AE1"/>
    <w:multiLevelType w:val="multilevel"/>
    <w:tmpl w:val="577EF4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4874C2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FD4"/>
    <w:multiLevelType w:val="multilevel"/>
    <w:tmpl w:val="917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5501B2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F9025F"/>
    <w:multiLevelType w:val="hybridMultilevel"/>
    <w:tmpl w:val="4A2A7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905"/>
    <w:multiLevelType w:val="hybridMultilevel"/>
    <w:tmpl w:val="ED800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D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8FF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779A"/>
    <w:multiLevelType w:val="hybridMultilevel"/>
    <w:tmpl w:val="2FF8BFB8"/>
    <w:lvl w:ilvl="0" w:tplc="8DEC2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6C4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24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9"/>
    <w:rsid w:val="00006D81"/>
    <w:rsid w:val="00010DC7"/>
    <w:rsid w:val="00013689"/>
    <w:rsid w:val="000167AD"/>
    <w:rsid w:val="00031517"/>
    <w:rsid w:val="00066E27"/>
    <w:rsid w:val="00067491"/>
    <w:rsid w:val="000B4FC6"/>
    <w:rsid w:val="000B547C"/>
    <w:rsid w:val="000D6287"/>
    <w:rsid w:val="000F0D14"/>
    <w:rsid w:val="000F4482"/>
    <w:rsid w:val="000F7F71"/>
    <w:rsid w:val="001240F5"/>
    <w:rsid w:val="001267FD"/>
    <w:rsid w:val="001451C7"/>
    <w:rsid w:val="00145828"/>
    <w:rsid w:val="00151633"/>
    <w:rsid w:val="0015681E"/>
    <w:rsid w:val="0016275A"/>
    <w:rsid w:val="00163B08"/>
    <w:rsid w:val="001803B7"/>
    <w:rsid w:val="0019209A"/>
    <w:rsid w:val="001D5673"/>
    <w:rsid w:val="001E3E07"/>
    <w:rsid w:val="00207105"/>
    <w:rsid w:val="00211D26"/>
    <w:rsid w:val="00245ADD"/>
    <w:rsid w:val="00251BF7"/>
    <w:rsid w:val="002601F2"/>
    <w:rsid w:val="00263C24"/>
    <w:rsid w:val="00274FC5"/>
    <w:rsid w:val="002932DD"/>
    <w:rsid w:val="002B3CD3"/>
    <w:rsid w:val="002D1847"/>
    <w:rsid w:val="002E32E6"/>
    <w:rsid w:val="002E53FC"/>
    <w:rsid w:val="00305395"/>
    <w:rsid w:val="003241CC"/>
    <w:rsid w:val="003347AB"/>
    <w:rsid w:val="003617E8"/>
    <w:rsid w:val="003A4A54"/>
    <w:rsid w:val="003B5E85"/>
    <w:rsid w:val="003D732F"/>
    <w:rsid w:val="003E6919"/>
    <w:rsid w:val="004018A9"/>
    <w:rsid w:val="0045565C"/>
    <w:rsid w:val="00456CE7"/>
    <w:rsid w:val="00463CE0"/>
    <w:rsid w:val="00486627"/>
    <w:rsid w:val="004A5EA4"/>
    <w:rsid w:val="00507245"/>
    <w:rsid w:val="005130FE"/>
    <w:rsid w:val="00525E1C"/>
    <w:rsid w:val="00552351"/>
    <w:rsid w:val="00561F16"/>
    <w:rsid w:val="00563756"/>
    <w:rsid w:val="00570373"/>
    <w:rsid w:val="00573318"/>
    <w:rsid w:val="0058006A"/>
    <w:rsid w:val="005833C3"/>
    <w:rsid w:val="00590D19"/>
    <w:rsid w:val="0059315D"/>
    <w:rsid w:val="005A59D7"/>
    <w:rsid w:val="005D3595"/>
    <w:rsid w:val="005E1D11"/>
    <w:rsid w:val="005F269B"/>
    <w:rsid w:val="00601B23"/>
    <w:rsid w:val="00654598"/>
    <w:rsid w:val="00657C0E"/>
    <w:rsid w:val="00691827"/>
    <w:rsid w:val="006A5AFF"/>
    <w:rsid w:val="006C6D39"/>
    <w:rsid w:val="00704363"/>
    <w:rsid w:val="007122C6"/>
    <w:rsid w:val="00732C61"/>
    <w:rsid w:val="00747195"/>
    <w:rsid w:val="007502D2"/>
    <w:rsid w:val="007558FD"/>
    <w:rsid w:val="007569BC"/>
    <w:rsid w:val="007635CA"/>
    <w:rsid w:val="007C0DEB"/>
    <w:rsid w:val="007C5359"/>
    <w:rsid w:val="007F335F"/>
    <w:rsid w:val="007F38BF"/>
    <w:rsid w:val="00802947"/>
    <w:rsid w:val="008162AB"/>
    <w:rsid w:val="00832D2B"/>
    <w:rsid w:val="00834334"/>
    <w:rsid w:val="008422E8"/>
    <w:rsid w:val="00845423"/>
    <w:rsid w:val="00866AD1"/>
    <w:rsid w:val="00873C2B"/>
    <w:rsid w:val="00897CB5"/>
    <w:rsid w:val="00897E38"/>
    <w:rsid w:val="008A52FB"/>
    <w:rsid w:val="008B0370"/>
    <w:rsid w:val="008C13BB"/>
    <w:rsid w:val="008C3FD0"/>
    <w:rsid w:val="008C6D67"/>
    <w:rsid w:val="008F0134"/>
    <w:rsid w:val="0090217C"/>
    <w:rsid w:val="00924C04"/>
    <w:rsid w:val="009468BB"/>
    <w:rsid w:val="009A68C5"/>
    <w:rsid w:val="009A7698"/>
    <w:rsid w:val="009D60F7"/>
    <w:rsid w:val="009E1358"/>
    <w:rsid w:val="009E687D"/>
    <w:rsid w:val="00A10F64"/>
    <w:rsid w:val="00A300E9"/>
    <w:rsid w:val="00A30189"/>
    <w:rsid w:val="00A314F2"/>
    <w:rsid w:val="00A51729"/>
    <w:rsid w:val="00A77A14"/>
    <w:rsid w:val="00AA40D0"/>
    <w:rsid w:val="00AD6100"/>
    <w:rsid w:val="00AE4DB6"/>
    <w:rsid w:val="00B452E9"/>
    <w:rsid w:val="00B67DDD"/>
    <w:rsid w:val="00B82317"/>
    <w:rsid w:val="00B926BA"/>
    <w:rsid w:val="00C0319C"/>
    <w:rsid w:val="00C25D72"/>
    <w:rsid w:val="00C46017"/>
    <w:rsid w:val="00C50639"/>
    <w:rsid w:val="00C573C0"/>
    <w:rsid w:val="00C57CFD"/>
    <w:rsid w:val="00C608DD"/>
    <w:rsid w:val="00C67309"/>
    <w:rsid w:val="00C7013F"/>
    <w:rsid w:val="00C92749"/>
    <w:rsid w:val="00CB0CB8"/>
    <w:rsid w:val="00CC2ED3"/>
    <w:rsid w:val="00CC69E5"/>
    <w:rsid w:val="00D15110"/>
    <w:rsid w:val="00D23105"/>
    <w:rsid w:val="00D32EBC"/>
    <w:rsid w:val="00D45C28"/>
    <w:rsid w:val="00D64C82"/>
    <w:rsid w:val="00D66EAE"/>
    <w:rsid w:val="00D7431D"/>
    <w:rsid w:val="00D91E0B"/>
    <w:rsid w:val="00DD4146"/>
    <w:rsid w:val="00DF1327"/>
    <w:rsid w:val="00DF68DF"/>
    <w:rsid w:val="00E202F5"/>
    <w:rsid w:val="00E23691"/>
    <w:rsid w:val="00E40BC5"/>
    <w:rsid w:val="00E44285"/>
    <w:rsid w:val="00E45040"/>
    <w:rsid w:val="00E86BA7"/>
    <w:rsid w:val="00E91C20"/>
    <w:rsid w:val="00E91CA7"/>
    <w:rsid w:val="00E95924"/>
    <w:rsid w:val="00EC0B92"/>
    <w:rsid w:val="00EC5680"/>
    <w:rsid w:val="00ED6245"/>
    <w:rsid w:val="00EF0551"/>
    <w:rsid w:val="00F00A0F"/>
    <w:rsid w:val="00F30DA5"/>
    <w:rsid w:val="00F31F90"/>
    <w:rsid w:val="00FB39F9"/>
    <w:rsid w:val="00FC0680"/>
    <w:rsid w:val="00FC59FB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518BAD"/>
  <w15:docId w15:val="{63166F38-9D59-436F-B9C2-29D63F7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E8"/>
  </w:style>
  <w:style w:type="paragraph" w:styleId="Ttulo1">
    <w:name w:val="heading 1"/>
    <w:basedOn w:val="Normal"/>
    <w:next w:val="Normal"/>
    <w:qFormat/>
    <w:rsid w:val="003617E8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617E8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3617E8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3617E8"/>
    <w:pPr>
      <w:keepNext/>
      <w:spacing w:before="60"/>
      <w:jc w:val="both"/>
      <w:outlineLvl w:val="3"/>
    </w:pPr>
    <w:rPr>
      <w:rFonts w:ascii="Arial" w:hAnsi="Arial"/>
      <w:b/>
      <w:color w:val="FF0000"/>
      <w:sz w:val="16"/>
    </w:rPr>
  </w:style>
  <w:style w:type="paragraph" w:styleId="Ttulo5">
    <w:name w:val="heading 5"/>
    <w:basedOn w:val="Normal"/>
    <w:next w:val="Normal"/>
    <w:qFormat/>
    <w:rsid w:val="003617E8"/>
    <w:pPr>
      <w:keepNext/>
      <w:spacing w:before="20" w:after="20"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43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17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7E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17E8"/>
    <w:pPr>
      <w:jc w:val="center"/>
    </w:pPr>
  </w:style>
  <w:style w:type="paragraph" w:styleId="Corpodetexto2">
    <w:name w:val="Body Text 2"/>
    <w:basedOn w:val="Normal"/>
    <w:rsid w:val="003617E8"/>
    <w:rPr>
      <w:sz w:val="18"/>
    </w:rPr>
  </w:style>
  <w:style w:type="paragraph" w:styleId="Corpodetexto3">
    <w:name w:val="Body Text 3"/>
    <w:basedOn w:val="Normal"/>
    <w:rsid w:val="003617E8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  <w:rsid w:val="003617E8"/>
  </w:style>
  <w:style w:type="paragraph" w:customStyle="1" w:styleId="CAPTULO">
    <w:name w:val="CAPÍTULO"/>
    <w:basedOn w:val="Normal"/>
    <w:rsid w:val="003617E8"/>
    <w:pPr>
      <w:numPr>
        <w:numId w:val="10"/>
      </w:numPr>
    </w:pPr>
  </w:style>
  <w:style w:type="paragraph" w:styleId="MapadoDocumento">
    <w:name w:val="Document Map"/>
    <w:basedOn w:val="Normal"/>
    <w:semiHidden/>
    <w:rsid w:val="003617E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Fontepargpadro"/>
    <w:rsid w:val="003617E8"/>
    <w:rPr>
      <w:color w:val="0000FF"/>
      <w:u w:val="single"/>
    </w:rPr>
  </w:style>
  <w:style w:type="character" w:styleId="HiperlinkVisitado">
    <w:name w:val="FollowedHyperlink"/>
    <w:basedOn w:val="Fontepargpadro"/>
    <w:rsid w:val="003617E8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3617E8"/>
    <w:pPr>
      <w:framePr w:w="5760" w:h="1260" w:hSpace="180" w:wrap="around" w:vAnchor="text" w:hAnchor="page" w:x="3142" w:y="154"/>
      <w:jc w:val="center"/>
    </w:pPr>
    <w:rPr>
      <w:rFonts w:ascii="Arial" w:hAnsi="Arial" w:cs="Arial"/>
      <w:b/>
      <w:bCs/>
      <w:sz w:val="28"/>
    </w:rPr>
  </w:style>
  <w:style w:type="paragraph" w:styleId="Textodebalo">
    <w:name w:val="Balloon Text"/>
    <w:basedOn w:val="Normal"/>
    <w:link w:val="TextodebaloChar"/>
    <w:rsid w:val="00C5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63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C0319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319C"/>
  </w:style>
  <w:style w:type="character" w:customStyle="1" w:styleId="TextodecomentrioChar">
    <w:name w:val="Texto de comentário Char"/>
    <w:basedOn w:val="Fontepargpadro"/>
    <w:link w:val="Textodecomentrio"/>
    <w:rsid w:val="00C0319C"/>
  </w:style>
  <w:style w:type="paragraph" w:styleId="Assuntodocomentrio">
    <w:name w:val="annotation subject"/>
    <w:basedOn w:val="Textodecomentrio"/>
    <w:next w:val="Textodecomentrio"/>
    <w:link w:val="AssuntodocomentrioChar"/>
    <w:rsid w:val="00C031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319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FC59FB"/>
  </w:style>
  <w:style w:type="paragraph" w:styleId="PargrafodaLista">
    <w:name w:val="List Paragraph"/>
    <w:basedOn w:val="Normal"/>
    <w:uiPriority w:val="34"/>
    <w:qFormat/>
    <w:rsid w:val="005130FE"/>
    <w:pPr>
      <w:ind w:left="720"/>
      <w:contextualSpacing/>
    </w:pPr>
  </w:style>
  <w:style w:type="table" w:styleId="Tabelacomgrade">
    <w:name w:val="Table Grid"/>
    <w:basedOn w:val="Tabelanormal"/>
    <w:rsid w:val="003A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83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110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8" w:color="E5E5E5"/>
            <w:bottom w:val="single" w:sz="6" w:space="11" w:color="E5E5E5"/>
            <w:right w:val="single" w:sz="6" w:space="8" w:color="E5E5E5"/>
          </w:divBdr>
          <w:divsChild>
            <w:div w:id="639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4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4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77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09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6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Formul&#225;rios\Mod_Plano_Ensino_Economia_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0768-5598-4566-AED7-0974F7DC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Mod_Plano_Ensino_Economia_atual</Template>
  <TotalTime>1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Cadastro de Pessoa Jurídica</vt:lpstr>
      <vt:lpstr>Cadastro de Pessoa Jurídica</vt:lpstr>
    </vt:vector>
  </TitlesOfParts>
  <Company>DESENBANCO</Company>
  <LinksUpToDate>false</LinksUpToDate>
  <CharactersWithSpaces>2501</CharactersWithSpaces>
  <SharedDoc>false</SharedDoc>
  <HLinks>
    <vt:vector size="54" baseType="variant">
      <vt:variant>
        <vt:i4>3276861</vt:i4>
      </vt:variant>
      <vt:variant>
        <vt:i4>24</vt:i4>
      </vt:variant>
      <vt:variant>
        <vt:i4>0</vt:i4>
      </vt:variant>
      <vt:variant>
        <vt:i4>5</vt:i4>
      </vt:variant>
      <vt:variant>
        <vt:lpwstr>http://www.enap.gov.br/</vt:lpwstr>
      </vt:variant>
      <vt:variant>
        <vt:lpwstr/>
      </vt:variant>
      <vt:variant>
        <vt:i4>1310792</vt:i4>
      </vt:variant>
      <vt:variant>
        <vt:i4>21</vt:i4>
      </vt:variant>
      <vt:variant>
        <vt:i4>0</vt:i4>
      </vt:variant>
      <vt:variant>
        <vt:i4>5</vt:i4>
      </vt:variant>
      <vt:variant>
        <vt:lpwstr>http://www.saude.gov.br/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http://www.inep.gov.br/</vt:lpwstr>
      </vt:variant>
      <vt:variant>
        <vt:lpwstr/>
      </vt:variant>
      <vt:variant>
        <vt:i4>6553645</vt:i4>
      </vt:variant>
      <vt:variant>
        <vt:i4>15</vt:i4>
      </vt:variant>
      <vt:variant>
        <vt:i4>0</vt:i4>
      </vt:variant>
      <vt:variant>
        <vt:i4>5</vt:i4>
      </vt:variant>
      <vt:variant>
        <vt:lpwstr>http://www.fazenda.gov.br/</vt:lpwstr>
      </vt:variant>
      <vt:variant>
        <vt:lpwstr/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http://www.fgv.br/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http://www.transparenciabrasil.gov.br/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http://www.stn.gov.br/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http://www.planejamento.gov.br/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http://www.ipea.gov.br/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Pessoa Jurídica</dc:title>
  <dc:creator>oscosta1</dc:creator>
  <cp:lastModifiedBy>KATIA MARIA TRINDADE BEZERRA</cp:lastModifiedBy>
  <cp:revision>3</cp:revision>
  <cp:lastPrinted>2017-08-24T16:04:00Z</cp:lastPrinted>
  <dcterms:created xsi:type="dcterms:W3CDTF">2024-06-17T15:08:00Z</dcterms:created>
  <dcterms:modified xsi:type="dcterms:W3CDTF">2024-06-17T15:09:00Z</dcterms:modified>
</cp:coreProperties>
</file>